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AD" w:rsidRDefault="007B7798" w:rsidP="007B7798">
      <w:r w:rsidRPr="007B7798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476250" y="362309"/>
            <wp:positionH relativeFrom="margin">
              <wp:align>left</wp:align>
            </wp:positionH>
            <wp:positionV relativeFrom="margin">
              <wp:align>top</wp:align>
            </wp:positionV>
            <wp:extent cx="1550958" cy="2087593"/>
            <wp:effectExtent l="19050" t="0" r="0" b="0"/>
            <wp:wrapSquare wrapText="bothSides"/>
            <wp:docPr id="3" name="Image 2" descr="C:\Users\secr-direction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ecr-direction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958" cy="208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798">
        <w:tab/>
      </w:r>
      <w:r>
        <w:tab/>
      </w:r>
    </w:p>
    <w:p w:rsidR="00C772AD" w:rsidRDefault="00C772AD" w:rsidP="007B7798"/>
    <w:p w:rsidR="007B7798" w:rsidRDefault="007B7798" w:rsidP="00C772AD">
      <w:pPr>
        <w:jc w:val="center"/>
        <w:rPr>
          <w:u w:val="single"/>
        </w:rPr>
      </w:pPr>
      <w:r w:rsidRPr="00BF497A">
        <w:rPr>
          <w:u w:val="single"/>
        </w:rPr>
        <w:t>LE SERVICE DE RESTAURATION ET D’HEBERGEMENT</w:t>
      </w:r>
    </w:p>
    <w:p w:rsidR="007B7798" w:rsidRPr="00F41884" w:rsidRDefault="007B7798" w:rsidP="007B7798">
      <w:pPr>
        <w:ind w:left="1416" w:firstLine="708"/>
        <w:jc w:val="center"/>
        <w:rPr>
          <w:u w:val="single"/>
        </w:rPr>
      </w:pPr>
      <w:r>
        <w:rPr>
          <w:u w:val="single"/>
        </w:rPr>
        <w:t xml:space="preserve">ANNEE SCOLAIRE </w:t>
      </w:r>
      <w:r w:rsidRPr="00F41884">
        <w:rPr>
          <w:u w:val="single"/>
        </w:rPr>
        <w:t>20</w:t>
      </w:r>
      <w:r w:rsidR="002B6496" w:rsidRPr="00F41884">
        <w:rPr>
          <w:u w:val="single"/>
        </w:rPr>
        <w:t>20</w:t>
      </w:r>
      <w:r w:rsidRPr="00F41884">
        <w:rPr>
          <w:u w:val="single"/>
        </w:rPr>
        <w:t>/202</w:t>
      </w:r>
      <w:r w:rsidR="002B6496" w:rsidRPr="00F41884">
        <w:rPr>
          <w:u w:val="single"/>
        </w:rPr>
        <w:t>1</w:t>
      </w:r>
    </w:p>
    <w:p w:rsidR="00422B98" w:rsidRDefault="00422B98" w:rsidP="007B7798">
      <w:pPr>
        <w:spacing w:after="120"/>
        <w:jc w:val="center"/>
        <w:rPr>
          <w:u w:val="single"/>
        </w:rPr>
      </w:pPr>
    </w:p>
    <w:p w:rsidR="0075609E" w:rsidRDefault="00EA2B1E" w:rsidP="007B7798">
      <w:pPr>
        <w:ind w:left="708" w:firstLine="708"/>
        <w:jc w:val="center"/>
        <w:rPr>
          <w:u w:val="single"/>
        </w:rPr>
      </w:pPr>
      <w:r>
        <w:rPr>
          <w:u w:val="single"/>
        </w:rPr>
        <w:t>Notice d’information à conserver par la famille</w:t>
      </w:r>
    </w:p>
    <w:p w:rsidR="00EA2B1E" w:rsidRDefault="00EA2B1E" w:rsidP="008D08F8">
      <w:pPr>
        <w:spacing w:after="120"/>
        <w:jc w:val="center"/>
      </w:pPr>
    </w:p>
    <w:p w:rsidR="00572EC4" w:rsidRDefault="0075609E" w:rsidP="008D08F8">
      <w:pPr>
        <w:spacing w:after="0"/>
      </w:pPr>
      <w:r>
        <w:t>Le service de restauration</w:t>
      </w:r>
      <w:r w:rsidR="00BF497A">
        <w:t xml:space="preserve"> et d’hébergement</w:t>
      </w:r>
      <w:r>
        <w:t xml:space="preserve"> accueille les élèves régulièrement inscrits dans l’établissement en qualité d’interne</w:t>
      </w:r>
      <w:r w:rsidR="00442437">
        <w:t xml:space="preserve">, externe </w:t>
      </w:r>
      <w:r>
        <w:t xml:space="preserve"> ou demi-pensionnaire,  les commensaux et</w:t>
      </w:r>
      <w:r w:rsidR="00B177F7">
        <w:t xml:space="preserve"> </w:t>
      </w:r>
      <w:r>
        <w:t>les élèves externes de façon occasionnelle.</w:t>
      </w:r>
    </w:p>
    <w:p w:rsidR="00422B98" w:rsidRDefault="00422B98" w:rsidP="008D08F8">
      <w:pPr>
        <w:spacing w:after="60"/>
      </w:pPr>
    </w:p>
    <w:p w:rsidR="00572EC4" w:rsidRDefault="00572EC4" w:rsidP="008D08F8">
      <w:pPr>
        <w:spacing w:after="60"/>
        <w:rPr>
          <w:u w:val="single"/>
        </w:rPr>
      </w:pPr>
      <w:r>
        <w:t xml:space="preserve">1 – </w:t>
      </w:r>
      <w:r w:rsidRPr="00572EC4">
        <w:rPr>
          <w:u w:val="single"/>
        </w:rPr>
        <w:t>Inscription et démission</w:t>
      </w:r>
    </w:p>
    <w:p w:rsidR="00572EC4" w:rsidRDefault="00572EC4" w:rsidP="008D08F8">
      <w:pPr>
        <w:spacing w:after="60"/>
      </w:pPr>
      <w:r w:rsidRPr="00572EC4">
        <w:t xml:space="preserve">L’inscription au </w:t>
      </w:r>
      <w:r>
        <w:t>service de restauration est effectuée par le responsable légal de l’élève pour l’année scolaire.</w:t>
      </w:r>
    </w:p>
    <w:p w:rsidR="00572EC4" w:rsidRDefault="00572EC4" w:rsidP="008D08F8">
      <w:pPr>
        <w:spacing w:after="0"/>
      </w:pPr>
      <w:r>
        <w:t xml:space="preserve">La démission </w:t>
      </w:r>
      <w:r w:rsidR="00150A92">
        <w:t>ne sera autorisée que</w:t>
      </w:r>
      <w:r>
        <w:t xml:space="preserve"> sur demande motivée du responsable légal de l’élève avant la fin de chaque période trimestrielle.</w:t>
      </w:r>
    </w:p>
    <w:p w:rsidR="00422B98" w:rsidRDefault="00422B98" w:rsidP="008D08F8">
      <w:pPr>
        <w:spacing w:after="60"/>
      </w:pPr>
    </w:p>
    <w:p w:rsidR="00572EC4" w:rsidRDefault="00A16510" w:rsidP="008D08F8">
      <w:pPr>
        <w:spacing w:after="60"/>
        <w:rPr>
          <w:u w:val="single"/>
        </w:rPr>
      </w:pPr>
      <w:r>
        <w:t xml:space="preserve">2 – </w:t>
      </w:r>
      <w:r w:rsidRPr="00A16510">
        <w:rPr>
          <w:u w:val="single"/>
        </w:rPr>
        <w:t>Accueil occasionnel des élèves externes</w:t>
      </w:r>
    </w:p>
    <w:p w:rsidR="00A16510" w:rsidRDefault="00A16510" w:rsidP="008D08F8">
      <w:pPr>
        <w:spacing w:after="0"/>
      </w:pPr>
      <w:r w:rsidRPr="00A16510">
        <w:t>Une possibilité sera offerte aux élèves externes</w:t>
      </w:r>
      <w:r>
        <w:t xml:space="preserve"> de prendre un repas</w:t>
      </w:r>
      <w:r w:rsidR="00422FE6">
        <w:t xml:space="preserve"> </w:t>
      </w:r>
      <w:r>
        <w:t xml:space="preserve">au tarif de 4.20 € pour l’année </w:t>
      </w:r>
      <w:r w:rsidRPr="001A580E">
        <w:rPr>
          <w:color w:val="FF0000"/>
        </w:rPr>
        <w:t>20</w:t>
      </w:r>
      <w:r w:rsidR="004A15FB" w:rsidRPr="001A580E">
        <w:rPr>
          <w:color w:val="FF0000"/>
        </w:rPr>
        <w:t>20</w:t>
      </w:r>
      <w:r w:rsidRPr="001A580E">
        <w:rPr>
          <w:color w:val="FF0000"/>
        </w:rPr>
        <w:t xml:space="preserve"> </w:t>
      </w:r>
      <w:r>
        <w:t>en raison de contraintes liées à l’emploi du temps</w:t>
      </w:r>
      <w:r w:rsidR="0048469B">
        <w:t>.</w:t>
      </w:r>
    </w:p>
    <w:p w:rsidR="00422B98" w:rsidRDefault="00422B98" w:rsidP="008D08F8">
      <w:pPr>
        <w:spacing w:after="60"/>
      </w:pPr>
    </w:p>
    <w:p w:rsidR="00A16510" w:rsidRDefault="00A16510" w:rsidP="008D08F8">
      <w:pPr>
        <w:spacing w:after="60"/>
        <w:rPr>
          <w:u w:val="single"/>
        </w:rPr>
      </w:pPr>
      <w:r>
        <w:t xml:space="preserve">3 – </w:t>
      </w:r>
      <w:r w:rsidRPr="00A16510">
        <w:rPr>
          <w:u w:val="single"/>
        </w:rPr>
        <w:t>Coût de l’hébergement</w:t>
      </w:r>
    </w:p>
    <w:p w:rsidR="00A16510" w:rsidRDefault="00A16510" w:rsidP="00A16510">
      <w:r>
        <w:t>Le décret n° 2006-753 du 29 juin 2006 relatif au prix de la restauration scolaire pour les élèves de l’enseignement public précise que les tarifs de la restauration scolair</w:t>
      </w:r>
      <w:r w:rsidR="004C4F80">
        <w:t>e fournie aux élèves des lycées de l’enseignement public sont fixés par la collectivité territoriale qui en a la charge conformément aux articles L-212-4, L-213-2, L-214-6, L-215-1 et L-422-2 du Code de l’éducation.</w:t>
      </w:r>
    </w:p>
    <w:p w:rsidR="00525BF1" w:rsidRDefault="004C4F80" w:rsidP="00C772AD">
      <w:pPr>
        <w:spacing w:after="120"/>
      </w:pPr>
      <w:r>
        <w:t>Les tarifs appliqués au LP2I pour l’année civile 20</w:t>
      </w:r>
      <w:r w:rsidR="00F81D0C">
        <w:t>20</w:t>
      </w:r>
      <w:r w:rsidR="00150A92">
        <w:t>, répartis sur trois périodes,</w:t>
      </w:r>
      <w:r>
        <w:t xml:space="preserve"> sont les suivants :</w:t>
      </w:r>
    </w:p>
    <w:tbl>
      <w:tblPr>
        <w:tblW w:w="106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020"/>
        <w:gridCol w:w="1120"/>
        <w:gridCol w:w="1544"/>
        <w:gridCol w:w="1701"/>
        <w:gridCol w:w="1701"/>
        <w:gridCol w:w="1466"/>
        <w:gridCol w:w="146"/>
      </w:tblGrid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F8" w:rsidRDefault="008D08F8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  <w:p w:rsidR="00C772AD" w:rsidRDefault="00C772AD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  <w:p w:rsidR="00C772AD" w:rsidRDefault="00C772AD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  <w:p w:rsidR="00422B98" w:rsidRPr="00DF3E4E" w:rsidRDefault="00422B98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98" w:rsidRDefault="00525BF1" w:rsidP="00422B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</w:pPr>
            <w:r w:rsidRPr="0008115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  <w:t xml:space="preserve">Tarification votée par la Commission Permanente du Conseil </w:t>
            </w:r>
          </w:p>
          <w:p w:rsidR="00422B98" w:rsidRPr="00081153" w:rsidRDefault="00422B98" w:rsidP="002048C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  <w:t xml:space="preserve">régional de </w:t>
            </w:r>
            <w:r w:rsidRPr="0008115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  <w:t xml:space="preserve">Nouvelle-aquitaine </w:t>
            </w:r>
            <w:r w:rsidRPr="00F41884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du 0</w:t>
            </w:r>
            <w:r w:rsidR="002048CA" w:rsidRPr="00F41884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7</w:t>
            </w:r>
            <w:r w:rsidRPr="00F41884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/10/201</w:t>
            </w:r>
            <w:r w:rsidR="002048CA" w:rsidRPr="00F41884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9</w:t>
            </w:r>
          </w:p>
        </w:tc>
      </w:tr>
      <w:tr w:rsidR="00525BF1" w:rsidRPr="00DF3E4E" w:rsidTr="001D6854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081153" w:rsidRDefault="00525BF1" w:rsidP="00422B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</w:pPr>
            <w:r w:rsidRPr="0008115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Période 1 : Janvier à mars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60 jours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Période 2 : Avril à juin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45 jours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Période 3 : Septembre à décembre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75 jours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1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180 jours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Tarif annuel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Janvier - Mars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Avril - Juin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Sept. - Décembre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INTERNAT PRE BAC FORFAIT 5 JOURS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1 429,00 €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476,34 €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357,25 €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595,42 €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INTERNAT PRE BAC FORFAIT 6 JOURS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1 530,00 €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510,00 €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382,50 €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637,50 €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DEMI-PENSION FORMULE 4 JOURS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D1785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432,00 €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144,00 €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108,00 €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180,00 €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D17856" w:rsidP="00D1785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DEMI-PENSION FORMULE  5 JOURS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D1785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527.00 </w:t>
            </w: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€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44243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17</w:t>
            </w:r>
            <w:r w:rsidR="00442437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5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.6</w:t>
            </w:r>
            <w:r w:rsidR="00442437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4</w:t>
            </w: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D1785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131.76</w:t>
            </w: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D1785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219.60</w:t>
            </w: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€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  <w:tr w:rsidR="00525BF1" w:rsidRPr="00DF3E4E" w:rsidTr="001D685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6" w:rsidRPr="00DF3E4E" w:rsidRDefault="00D17856" w:rsidP="006A36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INTERN</w:t>
            </w:r>
            <w:r w:rsidR="006A367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E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EXTERNE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0B10E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 </w:t>
            </w:r>
            <w:r w:rsidR="00C335F1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1195.00 €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 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398.34 €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D17856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 298.75 €</w:t>
            </w:r>
            <w:r w:rsidR="00525BF1"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DF3E4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 </w:t>
            </w:r>
            <w:r w:rsidR="00D17856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 xml:space="preserve">              497.92 €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BF1" w:rsidRPr="00DF3E4E" w:rsidRDefault="00525BF1" w:rsidP="00525B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525BF1" w:rsidRPr="00DF3E4E" w:rsidRDefault="00525BF1" w:rsidP="00A16510">
      <w:pPr>
        <w:rPr>
          <w:rFonts w:cstheme="minorHAnsi"/>
          <w:sz w:val="16"/>
          <w:szCs w:val="16"/>
        </w:rPr>
      </w:pPr>
    </w:p>
    <w:p w:rsidR="00C772AD" w:rsidRDefault="00C772AD" w:rsidP="007B7798">
      <w:pPr>
        <w:spacing w:after="60"/>
      </w:pPr>
    </w:p>
    <w:p w:rsidR="00C772AD" w:rsidRDefault="00C772AD" w:rsidP="007B7798">
      <w:pPr>
        <w:spacing w:after="60"/>
      </w:pPr>
    </w:p>
    <w:p w:rsidR="00C772AD" w:rsidRDefault="00C772AD" w:rsidP="007B7798">
      <w:pPr>
        <w:spacing w:after="60"/>
      </w:pPr>
    </w:p>
    <w:p w:rsidR="00C772AD" w:rsidRDefault="00C772AD" w:rsidP="007B7798">
      <w:pPr>
        <w:spacing w:after="60"/>
      </w:pPr>
    </w:p>
    <w:p w:rsidR="00C772AD" w:rsidRDefault="00C772AD" w:rsidP="007B7798">
      <w:pPr>
        <w:spacing w:after="60"/>
      </w:pPr>
    </w:p>
    <w:p w:rsidR="007602E3" w:rsidRDefault="007602E3" w:rsidP="007B7798">
      <w:pPr>
        <w:spacing w:after="60"/>
        <w:rPr>
          <w:u w:val="single"/>
        </w:rPr>
      </w:pPr>
      <w:r>
        <w:t xml:space="preserve">4 – </w:t>
      </w:r>
      <w:r w:rsidRPr="007602E3">
        <w:rPr>
          <w:u w:val="single"/>
        </w:rPr>
        <w:t>Modalités de paiement des prestations</w:t>
      </w:r>
    </w:p>
    <w:p w:rsidR="007602E3" w:rsidRDefault="007602E3" w:rsidP="007B7798">
      <w:pPr>
        <w:spacing w:after="60"/>
      </w:pPr>
      <w:r w:rsidRPr="007602E3">
        <w:t xml:space="preserve">Le règlement des prestations est à effectuer </w:t>
      </w:r>
      <w:r>
        <w:t>dans un délai de quinze jours à réception</w:t>
      </w:r>
      <w:r w:rsidRPr="007602E3">
        <w:t xml:space="preserve"> de l’avis au</w:t>
      </w:r>
      <w:r>
        <w:t>x</w:t>
      </w:r>
      <w:r w:rsidRPr="007602E3">
        <w:t xml:space="preserve"> familles </w:t>
      </w:r>
      <w:r>
        <w:t>en espèces, par chèque bancaire à l’ordre de l’</w:t>
      </w:r>
      <w:r w:rsidR="001D6854">
        <w:t>a</w:t>
      </w:r>
      <w:r>
        <w:t>gent comptable du LP2I</w:t>
      </w:r>
      <w:r w:rsidR="001D6854">
        <w:t xml:space="preserve"> ou par virement bancaire sur le compte de l’établissement</w:t>
      </w:r>
      <w:r w:rsidRPr="007602E3">
        <w:t>.</w:t>
      </w:r>
    </w:p>
    <w:p w:rsidR="007602E3" w:rsidRDefault="007602E3" w:rsidP="007B7798">
      <w:pPr>
        <w:spacing w:after="0"/>
      </w:pPr>
      <w:r>
        <w:t>Le prélèvement automatique peut être demandé (mandat de prélèvement SEPA joint en annexe) à l’exception des élèves boursiers.</w:t>
      </w:r>
      <w:r w:rsidR="00C24A03">
        <w:t xml:space="preserve"> Deux rejets de prélèvement</w:t>
      </w:r>
      <w:r w:rsidR="00627F92">
        <w:t xml:space="preserve"> entraineront l’annulation définitive du prélèvement automatique.</w:t>
      </w:r>
    </w:p>
    <w:p w:rsidR="00422B98" w:rsidRDefault="00422B98" w:rsidP="007B7798">
      <w:pPr>
        <w:spacing w:after="60"/>
      </w:pPr>
    </w:p>
    <w:p w:rsidR="007602E3" w:rsidRDefault="00BC2CC2" w:rsidP="007B7798">
      <w:pPr>
        <w:spacing w:after="60"/>
        <w:rPr>
          <w:u w:val="single"/>
        </w:rPr>
      </w:pPr>
      <w:r>
        <w:t xml:space="preserve">5 – </w:t>
      </w:r>
      <w:r>
        <w:rPr>
          <w:u w:val="single"/>
        </w:rPr>
        <w:t>La remise</w:t>
      </w:r>
      <w:r w:rsidRPr="00BC2CC2">
        <w:rPr>
          <w:u w:val="single"/>
        </w:rPr>
        <w:t xml:space="preserve"> d’ordre</w:t>
      </w:r>
    </w:p>
    <w:p w:rsidR="00BC2CC2" w:rsidRDefault="00BC2CC2" w:rsidP="007B7798">
      <w:pPr>
        <w:spacing w:after="60"/>
      </w:pPr>
      <w:r w:rsidRPr="00BC2CC2">
        <w:t>La remise d’ordre est une remise sur le montant des frais d’hébergement</w:t>
      </w:r>
      <w:r>
        <w:t xml:space="preserve"> accordée à un élève quittant l’établissement ou absent momentanément.</w:t>
      </w:r>
    </w:p>
    <w:p w:rsidR="00E90AE8" w:rsidRDefault="00BC2CC2" w:rsidP="007B7798">
      <w:pPr>
        <w:spacing w:after="60"/>
      </w:pPr>
      <w:r>
        <w:t>Elle est calculée au prorata du nombre de jours d’absence du restaurant scolaire et/ou de l’internat pour une durée de plus de cinq jours consécutifs et sur présentation d’un justificatif (exemple : certificat médical)</w:t>
      </w:r>
      <w:r w:rsidR="00E713BA">
        <w:t>, et demande écrite de la famille.</w:t>
      </w:r>
    </w:p>
    <w:p w:rsidR="00BC2CC2" w:rsidRDefault="00BC2CC2" w:rsidP="008D08F8">
      <w:pPr>
        <w:spacing w:after="0"/>
      </w:pPr>
      <w:r>
        <w:t>Une remise d’ordre peut être obtenue de plein droit</w:t>
      </w:r>
      <w:r w:rsidR="00F7488B">
        <w:t xml:space="preserve"> par les familles si l’absence de l’élève est imputable à l’établissement dans les cas suivants :</w:t>
      </w:r>
    </w:p>
    <w:p w:rsidR="003B3AD2" w:rsidRDefault="003B3AD2" w:rsidP="008D08F8">
      <w:pPr>
        <w:spacing w:after="60"/>
      </w:pPr>
    </w:p>
    <w:p w:rsidR="00F7488B" w:rsidRDefault="00F7488B" w:rsidP="00F7488B">
      <w:pPr>
        <w:pStyle w:val="Paragraphedeliste"/>
        <w:numPr>
          <w:ilvl w:val="0"/>
          <w:numId w:val="2"/>
        </w:numPr>
      </w:pPr>
      <w:r>
        <w:t>Fermeture du service de restauration et d’hébergement pour cas de force majeure.</w:t>
      </w:r>
    </w:p>
    <w:p w:rsidR="00F7488B" w:rsidRDefault="00F7488B" w:rsidP="00F7488B">
      <w:pPr>
        <w:pStyle w:val="Paragraphedeliste"/>
        <w:numPr>
          <w:ilvl w:val="0"/>
          <w:numId w:val="2"/>
        </w:numPr>
      </w:pPr>
      <w:r>
        <w:t>Participation de l’élève à une sortie pédagogique, un voyage scolaire ou un stage en entreprise pour lesquels l’établissement ne prend pas en charge les repas.</w:t>
      </w:r>
    </w:p>
    <w:p w:rsidR="00422B98" w:rsidRDefault="00F7488B" w:rsidP="007B7798">
      <w:pPr>
        <w:pStyle w:val="Paragraphedeliste"/>
        <w:numPr>
          <w:ilvl w:val="0"/>
          <w:numId w:val="2"/>
        </w:numPr>
        <w:spacing w:after="0"/>
      </w:pPr>
      <w:r>
        <w:t>Elève renvoyé par mesure disciplinaire ou retiré de l’établissement sur invitation de l’administration.</w:t>
      </w:r>
    </w:p>
    <w:p w:rsidR="00422B98" w:rsidRDefault="00422B98" w:rsidP="008D08F8">
      <w:pPr>
        <w:pStyle w:val="Paragraphedeliste"/>
        <w:spacing w:after="0"/>
      </w:pPr>
    </w:p>
    <w:p w:rsidR="00F7488B" w:rsidRDefault="00F7488B" w:rsidP="007B7798">
      <w:pPr>
        <w:spacing w:after="60"/>
        <w:rPr>
          <w:u w:val="single"/>
        </w:rPr>
      </w:pPr>
      <w:r>
        <w:t xml:space="preserve">6 – </w:t>
      </w:r>
      <w:r w:rsidRPr="00F7488B">
        <w:rPr>
          <w:u w:val="single"/>
        </w:rPr>
        <w:t>Recours en cas de non</w:t>
      </w:r>
      <w:r>
        <w:rPr>
          <w:u w:val="single"/>
        </w:rPr>
        <w:t>-</w:t>
      </w:r>
      <w:r w:rsidRPr="00F7488B">
        <w:rPr>
          <w:u w:val="single"/>
        </w:rPr>
        <w:t>paiement</w:t>
      </w:r>
    </w:p>
    <w:p w:rsidR="00F7488B" w:rsidRDefault="00F7488B" w:rsidP="008D08F8">
      <w:pPr>
        <w:spacing w:after="0"/>
      </w:pPr>
      <w:r w:rsidRPr="00F7488B">
        <w:t>En cas de non-paiement des frais de restauration et d’hébergement, l’agent comptable de l’établissement est seul compétent pour recouvrer les créances et émettre un recours en cas de contentieux.</w:t>
      </w:r>
    </w:p>
    <w:p w:rsidR="00422B98" w:rsidRDefault="00422B98" w:rsidP="008D08F8">
      <w:pPr>
        <w:spacing w:after="60"/>
      </w:pPr>
    </w:p>
    <w:p w:rsidR="00F7488B" w:rsidRDefault="00F7488B" w:rsidP="00F7488B">
      <w:pPr>
        <w:rPr>
          <w:u w:val="single"/>
        </w:rPr>
      </w:pPr>
      <w:r>
        <w:t xml:space="preserve">7 – </w:t>
      </w:r>
      <w:r w:rsidRPr="00F7488B">
        <w:rPr>
          <w:u w:val="single"/>
        </w:rPr>
        <w:t>Aides sociales</w:t>
      </w:r>
    </w:p>
    <w:p w:rsidR="00F7488B" w:rsidRDefault="00F7488B" w:rsidP="008D08F8">
      <w:pPr>
        <w:spacing w:after="0"/>
      </w:pPr>
      <w:r w:rsidRPr="00F7488B">
        <w:t>Outre les bourses nationales et les primes</w:t>
      </w:r>
      <w:r>
        <w:t xml:space="preserve"> de l’Etat, les fonds sociaux sont mobilisables pour venir en aide aux familles. </w:t>
      </w:r>
      <w:r w:rsidR="0082453D">
        <w:t>Il convient de prendre l’attache du secrétariat d’intendance de l’établissement pour en connaître les modalités d’</w:t>
      </w:r>
      <w:r w:rsidR="00DF3E4E">
        <w:t>obtention.</w:t>
      </w:r>
    </w:p>
    <w:p w:rsidR="00422B98" w:rsidRDefault="00422B98" w:rsidP="008D08F8">
      <w:pPr>
        <w:spacing w:after="60"/>
      </w:pPr>
    </w:p>
    <w:p w:rsidR="00DF3E4E" w:rsidRDefault="00DF3E4E" w:rsidP="00F7488B">
      <w:pPr>
        <w:rPr>
          <w:u w:val="single"/>
        </w:rPr>
      </w:pPr>
      <w:r>
        <w:t xml:space="preserve">8 – </w:t>
      </w:r>
      <w:r w:rsidRPr="00DF3E4E">
        <w:rPr>
          <w:u w:val="single"/>
        </w:rPr>
        <w:t>Carte d’accès au restaurant scolaire</w:t>
      </w:r>
    </w:p>
    <w:p w:rsidR="00DF3E4E" w:rsidRDefault="00DF3E4E" w:rsidP="00F7488B">
      <w:r w:rsidRPr="00DF3E4E">
        <w:t>Une carte à puce</w:t>
      </w:r>
      <w:r>
        <w:t xml:space="preserve"> nominative</w:t>
      </w:r>
      <w:r w:rsidRPr="00DF3E4E">
        <w:t xml:space="preserve"> est délivrée gratuitement à cha</w:t>
      </w:r>
      <w:r>
        <w:t>que</w:t>
      </w:r>
      <w:r w:rsidRPr="00DF3E4E">
        <w:t xml:space="preserve"> nouveau rationnaire.</w:t>
      </w:r>
    </w:p>
    <w:p w:rsidR="00DF3E4E" w:rsidRDefault="00DF3E4E" w:rsidP="00F7488B">
      <w:r>
        <w:t xml:space="preserve">En cas de perte ou de dégradation, une nouvelle carte sera attribuée et facturée 6.00 € (tarif en vigueur pour l’année </w:t>
      </w:r>
      <w:r w:rsidRPr="00F41884">
        <w:t>20</w:t>
      </w:r>
      <w:r w:rsidR="00F81D0C" w:rsidRPr="00F41884">
        <w:t>20</w:t>
      </w:r>
      <w:r w:rsidRPr="00F41884">
        <w:t>).</w:t>
      </w:r>
    </w:p>
    <w:sectPr w:rsidR="00DF3E4E" w:rsidSect="007B7798">
      <w:pgSz w:w="11906" w:h="16838" w:code="9"/>
      <w:pgMar w:top="567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46E"/>
    <w:multiLevelType w:val="hybridMultilevel"/>
    <w:tmpl w:val="B3AEA092"/>
    <w:lvl w:ilvl="0" w:tplc="8BA477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83C67"/>
    <w:multiLevelType w:val="hybridMultilevel"/>
    <w:tmpl w:val="0E7C0BD8"/>
    <w:lvl w:ilvl="0" w:tplc="4AEA762C">
      <w:start w:val="2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E56E59"/>
    <w:rsid w:val="00066C17"/>
    <w:rsid w:val="00081153"/>
    <w:rsid w:val="000B10E6"/>
    <w:rsid w:val="000D0988"/>
    <w:rsid w:val="000D2329"/>
    <w:rsid w:val="001203DA"/>
    <w:rsid w:val="00150A92"/>
    <w:rsid w:val="00160923"/>
    <w:rsid w:val="001A580E"/>
    <w:rsid w:val="001C5616"/>
    <w:rsid w:val="001D6854"/>
    <w:rsid w:val="002048CA"/>
    <w:rsid w:val="0021261A"/>
    <w:rsid w:val="002B6496"/>
    <w:rsid w:val="00362FBC"/>
    <w:rsid w:val="003B3AD2"/>
    <w:rsid w:val="00422B98"/>
    <w:rsid w:val="00422FE6"/>
    <w:rsid w:val="00442437"/>
    <w:rsid w:val="0045427E"/>
    <w:rsid w:val="00476952"/>
    <w:rsid w:val="0048469B"/>
    <w:rsid w:val="004A15FB"/>
    <w:rsid w:val="004C4F80"/>
    <w:rsid w:val="00511163"/>
    <w:rsid w:val="00525BF1"/>
    <w:rsid w:val="00572EC4"/>
    <w:rsid w:val="00627F92"/>
    <w:rsid w:val="006A3676"/>
    <w:rsid w:val="0075609E"/>
    <w:rsid w:val="00760031"/>
    <w:rsid w:val="007602E3"/>
    <w:rsid w:val="007B7798"/>
    <w:rsid w:val="0082453D"/>
    <w:rsid w:val="00887DE2"/>
    <w:rsid w:val="008C7BF3"/>
    <w:rsid w:val="008D08F8"/>
    <w:rsid w:val="00954D22"/>
    <w:rsid w:val="00965AD7"/>
    <w:rsid w:val="00A16510"/>
    <w:rsid w:val="00A30718"/>
    <w:rsid w:val="00AD65D7"/>
    <w:rsid w:val="00B177F7"/>
    <w:rsid w:val="00B957D1"/>
    <w:rsid w:val="00BC2CC2"/>
    <w:rsid w:val="00BD2968"/>
    <w:rsid w:val="00BF497A"/>
    <w:rsid w:val="00C24A03"/>
    <w:rsid w:val="00C335F1"/>
    <w:rsid w:val="00C772AD"/>
    <w:rsid w:val="00D17856"/>
    <w:rsid w:val="00D375D1"/>
    <w:rsid w:val="00DF3E4E"/>
    <w:rsid w:val="00E56E59"/>
    <w:rsid w:val="00E713BA"/>
    <w:rsid w:val="00E90AE8"/>
    <w:rsid w:val="00EA2B1E"/>
    <w:rsid w:val="00F41884"/>
    <w:rsid w:val="00F7488B"/>
    <w:rsid w:val="00F8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651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24C1-FA40-4FDA-B822-86159AEC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3815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intendant</dc:creator>
  <cp:lastModifiedBy>Secr-scolarite</cp:lastModifiedBy>
  <cp:revision>2</cp:revision>
  <cp:lastPrinted>2019-05-28T14:05:00Z</cp:lastPrinted>
  <dcterms:created xsi:type="dcterms:W3CDTF">2020-06-15T13:49:00Z</dcterms:created>
  <dcterms:modified xsi:type="dcterms:W3CDTF">2020-06-15T13:49:00Z</dcterms:modified>
</cp:coreProperties>
</file>